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4111"/>
        <w:gridCol w:w="4961"/>
      </w:tblGrid>
      <w:tr w:rsidR="00A1451B" w:rsidRPr="00A1451B" w14:paraId="5A8BD715" w14:textId="77777777" w:rsidTr="00A1451B">
        <w:tc>
          <w:tcPr>
            <w:tcW w:w="4111" w:type="dxa"/>
            <w:shd w:val="clear" w:color="auto" w:fill="auto"/>
          </w:tcPr>
          <w:p w14:paraId="748EA8FB" w14:textId="77777777" w:rsidR="00A1451B" w:rsidRPr="00A1451B" w:rsidRDefault="00A1451B" w:rsidP="007973FD">
            <w:pPr>
              <w:widowControl/>
              <w:jc w:val="center"/>
              <w:rPr>
                <w:rFonts w:ascii="Times New Roman" w:eastAsia="Calibri" w:hAnsi="Times New Roman" w:cs="Times New Roman"/>
                <w:color w:val="auto"/>
                <w:sz w:val="28"/>
                <w:szCs w:val="28"/>
                <w:lang w:val="en-US" w:eastAsia="en-US" w:bidi="ar-SA"/>
              </w:rPr>
            </w:pPr>
            <w:r w:rsidRPr="00A1451B">
              <w:rPr>
                <w:rFonts w:ascii="Times New Roman" w:eastAsia="Calibri" w:hAnsi="Times New Roman" w:cs="Times New Roman"/>
                <w:color w:val="auto"/>
                <w:sz w:val="28"/>
                <w:szCs w:val="28"/>
                <w:lang w:val="en-US" w:eastAsia="en-US" w:bidi="ar-SA"/>
              </w:rPr>
              <w:t>ĐẢNG BỘ TỈNH LAI CHÂU</w:t>
            </w:r>
          </w:p>
          <w:p w14:paraId="1FF5A35D" w14:textId="77777777" w:rsidR="00A1451B" w:rsidRPr="00A1451B" w:rsidRDefault="00A1451B" w:rsidP="007973FD">
            <w:pPr>
              <w:widowControl/>
              <w:jc w:val="center"/>
              <w:rPr>
                <w:rFonts w:ascii="Times New Roman" w:eastAsia="Calibri" w:hAnsi="Times New Roman" w:cs="Times New Roman"/>
                <w:b/>
                <w:color w:val="auto"/>
                <w:sz w:val="28"/>
                <w:szCs w:val="28"/>
                <w:lang w:val="en-US" w:eastAsia="en-US" w:bidi="ar-SA"/>
              </w:rPr>
            </w:pPr>
            <w:r w:rsidRPr="00A1451B">
              <w:rPr>
                <w:rFonts w:ascii="Times New Roman" w:eastAsia="Calibri" w:hAnsi="Times New Roman" w:cs="Times New Roman"/>
                <w:b/>
                <w:color w:val="auto"/>
                <w:sz w:val="28"/>
                <w:szCs w:val="28"/>
                <w:lang w:val="en-US" w:eastAsia="en-US" w:bidi="ar-SA"/>
              </w:rPr>
              <w:t>HUYỆN ỦY PHONG THỔ</w:t>
            </w:r>
          </w:p>
          <w:p w14:paraId="2D88FC21" w14:textId="77777777" w:rsidR="00A1451B" w:rsidRPr="00A1451B" w:rsidRDefault="00A1451B" w:rsidP="007973FD">
            <w:pPr>
              <w:widowControl/>
              <w:jc w:val="center"/>
              <w:rPr>
                <w:rFonts w:ascii="Times New Roman" w:eastAsia="Calibri" w:hAnsi="Times New Roman" w:cs="Times New Roman"/>
                <w:b/>
                <w:color w:val="auto"/>
                <w:sz w:val="28"/>
                <w:szCs w:val="28"/>
                <w:lang w:val="en-US" w:eastAsia="en-US" w:bidi="ar-SA"/>
              </w:rPr>
            </w:pPr>
            <w:r w:rsidRPr="00A1451B">
              <w:rPr>
                <w:rFonts w:ascii="Times New Roman" w:eastAsia="Calibri" w:hAnsi="Times New Roman" w:cs="Times New Roman"/>
                <w:color w:val="auto"/>
                <w:sz w:val="28"/>
                <w:szCs w:val="28"/>
                <w:lang w:val="en-US" w:eastAsia="en-US" w:bidi="ar-SA"/>
              </w:rPr>
              <w:t>*</w:t>
            </w:r>
          </w:p>
          <w:p w14:paraId="7B3D538E" w14:textId="509C05FF" w:rsidR="00A1451B" w:rsidRPr="00A1451B" w:rsidRDefault="00A1451B" w:rsidP="007973FD">
            <w:pPr>
              <w:widowControl/>
              <w:jc w:val="center"/>
              <w:rPr>
                <w:rFonts w:ascii="Times New Roman" w:eastAsia="Calibri" w:hAnsi="Times New Roman" w:cs="Times New Roman"/>
                <w:b/>
                <w:bCs/>
                <w:sz w:val="28"/>
                <w:szCs w:val="28"/>
                <w:lang w:val="en-US" w:eastAsia="en-US" w:bidi="ar-SA"/>
              </w:rPr>
            </w:pPr>
            <w:r w:rsidRPr="00A1451B">
              <w:rPr>
                <w:rFonts w:ascii="Times New Roman" w:eastAsia="Calibri" w:hAnsi="Times New Roman" w:cs="Times New Roman"/>
                <w:color w:val="auto"/>
                <w:sz w:val="28"/>
                <w:szCs w:val="28"/>
                <w:lang w:val="en-US" w:eastAsia="en-US" w:bidi="ar-SA"/>
              </w:rPr>
              <w:t>Số</w:t>
            </w:r>
            <w:r w:rsidR="00D03BB8">
              <w:rPr>
                <w:rFonts w:ascii="Times New Roman" w:eastAsia="Calibri" w:hAnsi="Times New Roman" w:cs="Times New Roman"/>
                <w:color w:val="auto"/>
                <w:sz w:val="28"/>
                <w:szCs w:val="28"/>
                <w:lang w:val="en-US" w:eastAsia="en-US" w:bidi="ar-SA"/>
              </w:rPr>
              <w:t xml:space="preserve"> 437</w:t>
            </w:r>
            <w:r w:rsidRPr="00A1451B">
              <w:rPr>
                <w:rFonts w:ascii="Times New Roman" w:eastAsia="Calibri" w:hAnsi="Times New Roman" w:cs="Times New Roman"/>
                <w:color w:val="auto"/>
                <w:sz w:val="28"/>
                <w:szCs w:val="28"/>
                <w:lang w:val="en-US" w:eastAsia="en-US" w:bidi="ar-SA"/>
              </w:rPr>
              <w:t>-KH/HU</w:t>
            </w:r>
          </w:p>
        </w:tc>
        <w:tc>
          <w:tcPr>
            <w:tcW w:w="4961" w:type="dxa"/>
            <w:shd w:val="clear" w:color="auto" w:fill="auto"/>
          </w:tcPr>
          <w:p w14:paraId="7ABB590E" w14:textId="77777777" w:rsidR="00A1451B" w:rsidRPr="00A1451B" w:rsidRDefault="00A1451B" w:rsidP="007973FD">
            <w:pPr>
              <w:widowControl/>
              <w:jc w:val="center"/>
              <w:rPr>
                <w:rFonts w:ascii="Times New Roman" w:eastAsia="Calibri" w:hAnsi="Times New Roman" w:cs="Times New Roman"/>
                <w:b/>
                <w:color w:val="auto"/>
                <w:sz w:val="30"/>
                <w:szCs w:val="30"/>
                <w:lang w:val="en-US" w:eastAsia="en-US" w:bidi="ar-SA"/>
              </w:rPr>
            </w:pPr>
            <w:r w:rsidRPr="00A1451B">
              <w:rPr>
                <w:rFonts w:ascii="Times New Roman" w:eastAsia="Calibri" w:hAnsi="Times New Roman" w:cs="Times New Roman"/>
                <w:b/>
                <w:color w:val="auto"/>
                <w:sz w:val="30"/>
                <w:szCs w:val="30"/>
                <w:lang w:val="en-US" w:eastAsia="en-US" w:bidi="ar-SA"/>
              </w:rPr>
              <w:t>ĐẢNG CỘNG SẢN VIỆT NAM</w:t>
            </w:r>
          </w:p>
          <w:p w14:paraId="005472A3" w14:textId="77777777" w:rsidR="00A1451B" w:rsidRPr="00A1451B" w:rsidRDefault="00A1451B" w:rsidP="007973FD">
            <w:pPr>
              <w:widowControl/>
              <w:tabs>
                <w:tab w:val="left" w:pos="654"/>
                <w:tab w:val="left" w:pos="2535"/>
              </w:tabs>
              <w:ind w:firstLine="536"/>
              <w:jc w:val="center"/>
              <w:rPr>
                <w:rFonts w:ascii="Times New Roman" w:eastAsia="Calibri" w:hAnsi="Times New Roman" w:cs="Times New Roman"/>
                <w:bCs/>
                <w:color w:val="auto"/>
                <w:sz w:val="28"/>
                <w:szCs w:val="28"/>
                <w:lang w:val="en-US" w:eastAsia="en-US" w:bidi="ar-SA"/>
              </w:rPr>
            </w:pPr>
            <w:r w:rsidRPr="00A1451B">
              <w:rPr>
                <w:rFonts w:ascii="Times New Roman" w:eastAsia="Calibri" w:hAnsi="Times New Roman" w:cs="Times New Roman"/>
                <w:noProof/>
                <w:color w:val="auto"/>
                <w:sz w:val="30"/>
                <w:szCs w:val="30"/>
                <w:lang w:val="en-US" w:eastAsia="en-US" w:bidi="ar-SA"/>
              </w:rPr>
              <mc:AlternateContent>
                <mc:Choice Requires="wps">
                  <w:drawing>
                    <wp:anchor distT="4294967295" distB="4294967295" distL="114300" distR="114300" simplePos="0" relativeHeight="251659264" behindDoc="0" locked="0" layoutInCell="1" allowOverlap="1" wp14:anchorId="3718C3A7" wp14:editId="4C169F14">
                      <wp:simplePos x="0" y="0"/>
                      <wp:positionH relativeFrom="column">
                        <wp:posOffset>159385</wp:posOffset>
                      </wp:positionH>
                      <wp:positionV relativeFrom="paragraph">
                        <wp:posOffset>38099</wp:posOffset>
                      </wp:positionV>
                      <wp:extent cx="2623185" cy="0"/>
                      <wp:effectExtent l="0" t="0" r="0" b="0"/>
                      <wp:wrapNone/>
                      <wp:docPr id="138407502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FBBFD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5pt,3pt" to="21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" strokeweight="1.25pt"/>
                  </w:pict>
                </mc:Fallback>
              </mc:AlternateContent>
            </w:r>
          </w:p>
          <w:p w14:paraId="6F233050" w14:textId="77777777" w:rsidR="00A1451B" w:rsidRDefault="00A1451B" w:rsidP="00A1451B">
            <w:pPr>
              <w:widowControl/>
              <w:rPr>
                <w:rFonts w:ascii="Times New Roman" w:eastAsia="Calibri" w:hAnsi="Times New Roman" w:cs="Times New Roman"/>
                <w:bCs/>
                <w:i/>
                <w:color w:val="auto"/>
                <w:sz w:val="28"/>
                <w:szCs w:val="28"/>
                <w:lang w:val="en-US" w:eastAsia="en-US" w:bidi="ar-SA"/>
              </w:rPr>
            </w:pPr>
          </w:p>
          <w:p w14:paraId="24B8A482" w14:textId="708E79DE" w:rsidR="00A1451B" w:rsidRPr="00A1451B" w:rsidRDefault="00A1451B" w:rsidP="00A1451B">
            <w:pPr>
              <w:widowControl/>
              <w:rPr>
                <w:rFonts w:ascii="Times New Roman" w:eastAsia="Calibri" w:hAnsi="Times New Roman" w:cs="Times New Roman"/>
                <w:b/>
                <w:bCs/>
                <w:i/>
                <w:sz w:val="28"/>
                <w:szCs w:val="28"/>
                <w:lang w:val="en-US" w:eastAsia="en-US" w:bidi="ar-SA"/>
              </w:rPr>
            </w:pPr>
            <w:r w:rsidRPr="00A1451B">
              <w:rPr>
                <w:rFonts w:ascii="Times New Roman" w:eastAsia="Calibri" w:hAnsi="Times New Roman" w:cs="Times New Roman"/>
                <w:bCs/>
                <w:i/>
                <w:color w:val="auto"/>
                <w:sz w:val="28"/>
                <w:szCs w:val="28"/>
                <w:lang w:val="en-US" w:eastAsia="en-US" w:bidi="ar-SA"/>
              </w:rPr>
              <w:t>Phong Thổ, ngày</w:t>
            </w:r>
            <w:r w:rsidR="00D03BB8">
              <w:rPr>
                <w:rFonts w:ascii="Times New Roman" w:eastAsia="Calibri" w:hAnsi="Times New Roman" w:cs="Times New Roman"/>
                <w:bCs/>
                <w:i/>
                <w:color w:val="auto"/>
                <w:sz w:val="28"/>
                <w:szCs w:val="28"/>
                <w:lang w:val="en-US" w:eastAsia="en-US" w:bidi="ar-SA"/>
              </w:rPr>
              <w:t xml:space="preserve"> 01</w:t>
            </w:r>
            <w:r w:rsidRPr="00A1451B">
              <w:rPr>
                <w:rFonts w:ascii="Times New Roman" w:eastAsia="Calibri" w:hAnsi="Times New Roman" w:cs="Times New Roman"/>
                <w:bCs/>
                <w:i/>
                <w:color w:val="auto"/>
                <w:sz w:val="28"/>
                <w:szCs w:val="28"/>
                <w:lang w:val="en-US" w:eastAsia="en-US" w:bidi="ar-SA"/>
              </w:rPr>
              <w:t xml:space="preserve"> tháng </w:t>
            </w:r>
            <w:r w:rsidR="00D03BB8">
              <w:rPr>
                <w:rFonts w:ascii="Times New Roman" w:eastAsia="Calibri" w:hAnsi="Times New Roman" w:cs="Times New Roman"/>
                <w:bCs/>
                <w:i/>
                <w:color w:val="auto"/>
                <w:sz w:val="28"/>
                <w:szCs w:val="28"/>
                <w:lang w:val="en-US" w:eastAsia="en-US" w:bidi="ar-SA"/>
              </w:rPr>
              <w:t>7</w:t>
            </w:r>
            <w:r w:rsidRPr="00A1451B">
              <w:rPr>
                <w:rFonts w:ascii="Times New Roman" w:eastAsia="Calibri" w:hAnsi="Times New Roman" w:cs="Times New Roman"/>
                <w:bCs/>
                <w:i/>
                <w:color w:val="auto"/>
                <w:sz w:val="28"/>
                <w:szCs w:val="28"/>
                <w:lang w:val="en-US" w:eastAsia="en-US" w:bidi="ar-SA"/>
              </w:rPr>
              <w:t xml:space="preserve"> năm 2024</w:t>
            </w:r>
          </w:p>
        </w:tc>
      </w:tr>
    </w:tbl>
    <w:p w14:paraId="41C721E3" w14:textId="77777777" w:rsidR="00A1451B" w:rsidRPr="00A1451B" w:rsidRDefault="00A1451B" w:rsidP="00A1451B">
      <w:pPr>
        <w:pStyle w:val="Vnbnnidung0"/>
        <w:spacing w:after="80"/>
        <w:ind w:firstLine="0"/>
        <w:jc w:val="center"/>
        <w:rPr>
          <w:b/>
          <w:bCs/>
          <w:sz w:val="22"/>
          <w:szCs w:val="22"/>
        </w:rPr>
      </w:pPr>
    </w:p>
    <w:p w14:paraId="0F6BD277" w14:textId="77777777" w:rsidR="00A1451B" w:rsidRPr="00A1451B" w:rsidRDefault="00A1451B" w:rsidP="00A1451B">
      <w:pPr>
        <w:pStyle w:val="Vnbnnidung0"/>
        <w:spacing w:after="0"/>
        <w:ind w:firstLine="0"/>
        <w:jc w:val="center"/>
        <w:rPr>
          <w:sz w:val="28"/>
          <w:szCs w:val="28"/>
        </w:rPr>
      </w:pPr>
      <w:r w:rsidRPr="00A1451B">
        <w:rPr>
          <w:b/>
          <w:bCs/>
          <w:sz w:val="28"/>
          <w:szCs w:val="28"/>
        </w:rPr>
        <w:t>KẾ HOẠCH</w:t>
      </w:r>
    </w:p>
    <w:p w14:paraId="3675E045" w14:textId="77777777" w:rsidR="00A1451B" w:rsidRPr="00A1451B" w:rsidRDefault="00A1451B" w:rsidP="00A1451B">
      <w:pPr>
        <w:pStyle w:val="Vnbnnidung0"/>
        <w:spacing w:after="0"/>
        <w:ind w:firstLine="0"/>
        <w:jc w:val="center"/>
        <w:rPr>
          <w:b/>
          <w:bCs/>
          <w:sz w:val="28"/>
          <w:szCs w:val="28"/>
        </w:rPr>
      </w:pPr>
      <w:r w:rsidRPr="00A1451B">
        <w:rPr>
          <w:b/>
          <w:bCs/>
          <w:sz w:val="28"/>
          <w:szCs w:val="28"/>
        </w:rPr>
        <w:t>tổng kết 10 năm thực hiện Chỉ thị số 35-CT/TW, ngày 26/5/2014</w:t>
      </w:r>
      <w:r w:rsidRPr="00A1451B">
        <w:rPr>
          <w:b/>
          <w:bCs/>
          <w:sz w:val="28"/>
          <w:szCs w:val="28"/>
        </w:rPr>
        <w:br/>
        <w:t>của Bộ Chính trị về tăng cường sự lãnh đạo của Đảng đối với công tác</w:t>
      </w:r>
      <w:r w:rsidRPr="00A1451B">
        <w:rPr>
          <w:b/>
          <w:bCs/>
          <w:sz w:val="28"/>
          <w:szCs w:val="28"/>
        </w:rPr>
        <w:br/>
        <w:t>tiếp công dân và giải quyết khiếu nại, tố cáo</w:t>
      </w:r>
    </w:p>
    <w:p w14:paraId="63298404" w14:textId="77777777" w:rsidR="00A1451B" w:rsidRPr="00A1451B" w:rsidRDefault="00A1451B" w:rsidP="00A1451B">
      <w:pPr>
        <w:pStyle w:val="Vnbnnidung0"/>
        <w:spacing w:after="0"/>
        <w:ind w:firstLine="0"/>
        <w:jc w:val="center"/>
        <w:rPr>
          <w:b/>
          <w:bCs/>
          <w:sz w:val="28"/>
          <w:szCs w:val="28"/>
        </w:rPr>
      </w:pPr>
      <w:r w:rsidRPr="00A1451B">
        <w:rPr>
          <w:b/>
          <w:bCs/>
          <w:sz w:val="28"/>
          <w:szCs w:val="28"/>
        </w:rPr>
        <w:t>-----</w:t>
      </w:r>
    </w:p>
    <w:p w14:paraId="4ABA7C32" w14:textId="77777777" w:rsidR="00A1451B" w:rsidRPr="00A1451B" w:rsidRDefault="00A1451B" w:rsidP="00A1451B">
      <w:pPr>
        <w:pStyle w:val="Vnbnnidung0"/>
        <w:spacing w:after="0"/>
        <w:ind w:firstLine="0"/>
        <w:jc w:val="center"/>
        <w:rPr>
          <w:sz w:val="14"/>
          <w:szCs w:val="14"/>
        </w:rPr>
      </w:pPr>
    </w:p>
    <w:p w14:paraId="6F3B75D5" w14:textId="77777777" w:rsidR="00A1451B" w:rsidRPr="00A1451B" w:rsidRDefault="00A1451B" w:rsidP="00A1451B">
      <w:pPr>
        <w:pStyle w:val="Vnbnnidung0"/>
        <w:spacing w:line="276" w:lineRule="auto"/>
        <w:ind w:firstLine="709"/>
        <w:jc w:val="both"/>
        <w:rPr>
          <w:sz w:val="28"/>
          <w:szCs w:val="28"/>
        </w:rPr>
      </w:pPr>
      <w:r w:rsidRPr="00A1451B">
        <w:rPr>
          <w:sz w:val="28"/>
          <w:szCs w:val="28"/>
        </w:rPr>
        <w:t>Thực hiện Kế hoạch số 264-KH/TU, ngày 20/6/2024 của Tỉnh ủy Lai Châu về tổng kết 10 năm thực hiện Chỉ thị số 35-CT/TW, ngày 26/5/2014 của Bộ Chính trị về tăng cường sự lãnh đạo của Đảng đối với công tác tiếp công dân và giải quyết khiếu nại, tố cáo. Ban Thường vụ Huyện ủy ban hành Kế hoạch tổng kết như sau:</w:t>
      </w:r>
      <w:bookmarkStart w:id="0" w:name="bookmark5"/>
      <w:bookmarkStart w:id="1" w:name="bookmark3"/>
      <w:bookmarkStart w:id="2" w:name="bookmark4"/>
      <w:bookmarkStart w:id="3" w:name="bookmark6"/>
      <w:bookmarkEnd w:id="0"/>
    </w:p>
    <w:p w14:paraId="57246D41" w14:textId="77777777" w:rsidR="00A1451B" w:rsidRPr="00A1451B" w:rsidRDefault="00A1451B" w:rsidP="00A1451B">
      <w:pPr>
        <w:pStyle w:val="Vnbnnidung0"/>
        <w:spacing w:line="276" w:lineRule="auto"/>
        <w:ind w:firstLine="709"/>
        <w:jc w:val="both"/>
        <w:rPr>
          <w:b/>
          <w:bCs/>
          <w:sz w:val="28"/>
          <w:szCs w:val="28"/>
        </w:rPr>
      </w:pPr>
      <w:r w:rsidRPr="00A1451B">
        <w:rPr>
          <w:b/>
          <w:bCs/>
          <w:sz w:val="28"/>
          <w:szCs w:val="28"/>
        </w:rPr>
        <w:t>I. MỤC ĐÍCH, YÊU CẦU</w:t>
      </w:r>
      <w:bookmarkStart w:id="4" w:name="bookmark7"/>
      <w:bookmarkEnd w:id="1"/>
      <w:bookmarkEnd w:id="2"/>
      <w:bookmarkEnd w:id="3"/>
      <w:bookmarkEnd w:id="4"/>
    </w:p>
    <w:p w14:paraId="2B8040A3" w14:textId="77777777" w:rsidR="00A1451B" w:rsidRPr="00A1451B" w:rsidRDefault="00A1451B" w:rsidP="00A1451B">
      <w:pPr>
        <w:pStyle w:val="Vnbnnidung0"/>
        <w:spacing w:line="276" w:lineRule="auto"/>
        <w:ind w:firstLine="709"/>
        <w:jc w:val="both"/>
        <w:rPr>
          <w:sz w:val="28"/>
          <w:szCs w:val="28"/>
        </w:rPr>
      </w:pPr>
      <w:r w:rsidRPr="00A1451B">
        <w:rPr>
          <w:b/>
          <w:bCs/>
          <w:sz w:val="28"/>
          <w:szCs w:val="28"/>
        </w:rPr>
        <w:t>1.</w:t>
      </w:r>
      <w:r w:rsidRPr="00A1451B">
        <w:rPr>
          <w:sz w:val="28"/>
          <w:szCs w:val="28"/>
        </w:rPr>
        <w:t xml:space="preserve"> Đánh giá toàn diện kết quả, ưu điểm, tồn tại, hạn chế, khó khăn, vướng mắc, nguyên nhân và bài học kinh nghiệm sau 10 năm triển khai thực hiện Chỉ thị số 35-CT/TW. Qua đó, kiến nghị, đề xuất các nhiệm vụ, giải pháp tiếp tục tăng cường sự lãnh đạo của Đảng để nâng cao hơn nữa hiệu quả công tác tiếp công dân và giải quyết khiếu nại, tố cáo trong thời gian tới.</w:t>
      </w:r>
      <w:bookmarkStart w:id="5" w:name="bookmark8"/>
      <w:bookmarkEnd w:id="5"/>
    </w:p>
    <w:p w14:paraId="723C87E0" w14:textId="77777777" w:rsidR="00A1451B" w:rsidRPr="00A1451B" w:rsidRDefault="00A1451B" w:rsidP="00A1451B">
      <w:pPr>
        <w:pStyle w:val="Vnbnnidung0"/>
        <w:spacing w:line="276" w:lineRule="auto"/>
        <w:ind w:firstLine="709"/>
        <w:jc w:val="both"/>
        <w:rPr>
          <w:sz w:val="28"/>
          <w:szCs w:val="28"/>
        </w:rPr>
      </w:pPr>
      <w:r w:rsidRPr="00A1451B">
        <w:rPr>
          <w:b/>
          <w:bCs/>
          <w:sz w:val="28"/>
          <w:szCs w:val="28"/>
        </w:rPr>
        <w:t>2.</w:t>
      </w:r>
      <w:r w:rsidRPr="00A1451B">
        <w:rPr>
          <w:sz w:val="28"/>
          <w:szCs w:val="28"/>
        </w:rPr>
        <w:t xml:space="preserve"> Việc tổng kết phải bám sát các chủ trương, nhiệm vụ, giải pháp nêu trong Chỉ thị số 35-CT/TW và thực tiễn tiếp công dân, giải quyết khiếu nại, tố cáo 10 năm qua; tiến hành nghiêm túc, khẩn trương theo đúng kế hoạch; bảo đảm chất lượng, hiệu quả, tránh hình thức, lãng phí; nêu cao trách nhiệm của các cấp ủy, tổ chức đảng, cơ quan, đơn vị, cá nhân có liên quan.</w:t>
      </w:r>
      <w:bookmarkStart w:id="6" w:name="bookmark9"/>
      <w:bookmarkEnd w:id="6"/>
    </w:p>
    <w:p w14:paraId="17359457" w14:textId="77777777" w:rsidR="00A1451B" w:rsidRPr="00A1451B" w:rsidRDefault="00A1451B" w:rsidP="00A1451B">
      <w:pPr>
        <w:pStyle w:val="Vnbnnidung0"/>
        <w:spacing w:line="276" w:lineRule="auto"/>
        <w:ind w:firstLine="709"/>
        <w:jc w:val="both"/>
        <w:rPr>
          <w:b/>
          <w:bCs/>
          <w:sz w:val="28"/>
          <w:szCs w:val="28"/>
        </w:rPr>
      </w:pPr>
      <w:r w:rsidRPr="00A1451B">
        <w:rPr>
          <w:b/>
          <w:bCs/>
          <w:sz w:val="28"/>
          <w:szCs w:val="28"/>
        </w:rPr>
        <w:t>II. NỘI DUNG, PHƯƠNG PHÁP, THỜI GIAN TỔNG KẾT</w:t>
      </w:r>
      <w:bookmarkStart w:id="7" w:name="bookmark12"/>
      <w:bookmarkStart w:id="8" w:name="bookmark10"/>
      <w:bookmarkStart w:id="9" w:name="bookmark11"/>
      <w:bookmarkStart w:id="10" w:name="bookmark13"/>
      <w:bookmarkEnd w:id="7"/>
    </w:p>
    <w:p w14:paraId="7D8879BC" w14:textId="77777777" w:rsidR="00A1451B" w:rsidRPr="00A1451B" w:rsidRDefault="00A1451B" w:rsidP="00A1451B">
      <w:pPr>
        <w:pStyle w:val="Vnbnnidung0"/>
        <w:spacing w:line="276" w:lineRule="auto"/>
        <w:ind w:firstLine="709"/>
        <w:jc w:val="both"/>
        <w:rPr>
          <w:b/>
          <w:bCs/>
          <w:sz w:val="28"/>
          <w:szCs w:val="28"/>
        </w:rPr>
      </w:pPr>
      <w:r w:rsidRPr="00A1451B">
        <w:rPr>
          <w:b/>
          <w:bCs/>
          <w:sz w:val="28"/>
          <w:szCs w:val="28"/>
        </w:rPr>
        <w:t>1. Nội dung tổng kết</w:t>
      </w:r>
      <w:bookmarkStart w:id="11" w:name="bookmark14"/>
      <w:bookmarkEnd w:id="8"/>
      <w:bookmarkEnd w:id="9"/>
      <w:bookmarkEnd w:id="10"/>
      <w:bookmarkEnd w:id="11"/>
    </w:p>
    <w:p w14:paraId="77B320F9" w14:textId="77777777" w:rsidR="00A1451B" w:rsidRPr="00A1451B" w:rsidRDefault="00A1451B" w:rsidP="00A1451B">
      <w:pPr>
        <w:pStyle w:val="Vnbnnidung0"/>
        <w:spacing w:line="276" w:lineRule="auto"/>
        <w:ind w:firstLine="709"/>
        <w:jc w:val="both"/>
        <w:rPr>
          <w:b/>
          <w:bCs/>
          <w:sz w:val="28"/>
          <w:szCs w:val="28"/>
        </w:rPr>
      </w:pPr>
      <w:r w:rsidRPr="001228D8">
        <w:rPr>
          <w:sz w:val="28"/>
          <w:szCs w:val="28"/>
        </w:rPr>
        <w:t>1.1.</w:t>
      </w:r>
      <w:r w:rsidRPr="00A1451B">
        <w:rPr>
          <w:b/>
          <w:bCs/>
          <w:sz w:val="28"/>
          <w:szCs w:val="28"/>
        </w:rPr>
        <w:t xml:space="preserve"> </w:t>
      </w:r>
      <w:r w:rsidRPr="00A1451B">
        <w:rPr>
          <w:sz w:val="28"/>
          <w:szCs w:val="28"/>
        </w:rPr>
        <w:t>Công tác lãnh đạo, chỉ đạo phổ biến, quán triệt và triển khai thực hiện Chỉ thị số 35-CT/TW.</w:t>
      </w:r>
      <w:bookmarkStart w:id="12" w:name="bookmark15"/>
      <w:bookmarkEnd w:id="12"/>
    </w:p>
    <w:p w14:paraId="2E04DE14" w14:textId="77777777" w:rsidR="00A1451B" w:rsidRPr="00A1451B" w:rsidRDefault="00A1451B" w:rsidP="00A1451B">
      <w:pPr>
        <w:pStyle w:val="Vnbnnidung0"/>
        <w:spacing w:line="276" w:lineRule="auto"/>
        <w:ind w:firstLine="709"/>
        <w:jc w:val="both"/>
        <w:rPr>
          <w:b/>
          <w:bCs/>
          <w:sz w:val="28"/>
          <w:szCs w:val="28"/>
        </w:rPr>
      </w:pPr>
      <w:r w:rsidRPr="001228D8">
        <w:rPr>
          <w:sz w:val="28"/>
          <w:szCs w:val="28"/>
        </w:rPr>
        <w:t>1.2.</w:t>
      </w:r>
      <w:r w:rsidRPr="00A1451B">
        <w:rPr>
          <w:b/>
          <w:bCs/>
          <w:sz w:val="28"/>
          <w:szCs w:val="28"/>
        </w:rPr>
        <w:t xml:space="preserve"> </w:t>
      </w:r>
      <w:r w:rsidRPr="00A1451B">
        <w:rPr>
          <w:sz w:val="28"/>
          <w:szCs w:val="28"/>
        </w:rPr>
        <w:t>Kết quả thực hiện các nhiệm vụ, giải pháp được nêu trong Chỉ thị số 35-CT/TW, trọng tâm là:</w:t>
      </w:r>
    </w:p>
    <w:p w14:paraId="0BC87538" w14:textId="77777777" w:rsidR="00A1451B" w:rsidRPr="00A1451B" w:rsidRDefault="00A1451B" w:rsidP="00A1451B">
      <w:pPr>
        <w:pStyle w:val="Vnbnnidung0"/>
        <w:spacing w:line="276" w:lineRule="auto"/>
        <w:ind w:firstLine="709"/>
        <w:jc w:val="both"/>
        <w:rPr>
          <w:b/>
          <w:bCs/>
          <w:sz w:val="28"/>
          <w:szCs w:val="28"/>
        </w:rPr>
      </w:pPr>
      <w:r w:rsidRPr="00A1451B">
        <w:rPr>
          <w:sz w:val="28"/>
          <w:szCs w:val="28"/>
        </w:rPr>
        <w:t>-</w:t>
      </w:r>
      <w:r w:rsidRPr="00A1451B">
        <w:rPr>
          <w:b/>
          <w:bCs/>
          <w:sz w:val="28"/>
          <w:szCs w:val="28"/>
        </w:rPr>
        <w:t xml:space="preserve"> </w:t>
      </w:r>
      <w:r w:rsidRPr="00A1451B">
        <w:rPr>
          <w:sz w:val="28"/>
          <w:szCs w:val="28"/>
        </w:rPr>
        <w:t>Việc quán triệt, tổ chức thực hiện các chủ trương, chính sách của Đảng, pháp luật của Nhà nước về tiếp công dân, giải quyết khiếu nại, tố cáo.</w:t>
      </w:r>
      <w:bookmarkStart w:id="13" w:name="bookmark16"/>
      <w:bookmarkEnd w:id="13"/>
    </w:p>
    <w:p w14:paraId="2445918E" w14:textId="77777777" w:rsidR="00A1451B" w:rsidRPr="00A1451B" w:rsidRDefault="00A1451B" w:rsidP="00A1451B">
      <w:pPr>
        <w:pStyle w:val="Vnbnnidung0"/>
        <w:spacing w:line="276" w:lineRule="auto"/>
        <w:ind w:firstLine="709"/>
        <w:jc w:val="both"/>
        <w:rPr>
          <w:b/>
          <w:bCs/>
          <w:sz w:val="28"/>
          <w:szCs w:val="28"/>
        </w:rPr>
      </w:pPr>
      <w:r w:rsidRPr="00A1451B">
        <w:rPr>
          <w:sz w:val="28"/>
          <w:szCs w:val="28"/>
        </w:rPr>
        <w:t>- Công tác xây dựng, hoàn thiện thể chế về tiếp công dân, giải quyết khiếu nại, tố cáo và chính sách, pháp luật liên quan đến quyền, lợi ích của người dân, nhất là trong lĩnh vực đất đai, tài nguyên, đầu tư, tài chính,...</w:t>
      </w:r>
      <w:bookmarkStart w:id="14" w:name="bookmark17"/>
      <w:bookmarkEnd w:id="14"/>
    </w:p>
    <w:p w14:paraId="1BEDAE82" w14:textId="77777777" w:rsidR="00A1451B" w:rsidRPr="00A1451B" w:rsidRDefault="00A1451B" w:rsidP="00A1451B">
      <w:pPr>
        <w:pStyle w:val="Vnbnnidung0"/>
        <w:spacing w:line="288" w:lineRule="auto"/>
        <w:ind w:firstLine="709"/>
        <w:jc w:val="both"/>
        <w:rPr>
          <w:b/>
          <w:bCs/>
          <w:spacing w:val="2"/>
          <w:sz w:val="28"/>
          <w:szCs w:val="28"/>
        </w:rPr>
      </w:pPr>
      <w:r w:rsidRPr="00A1451B">
        <w:rPr>
          <w:spacing w:val="2"/>
          <w:sz w:val="28"/>
          <w:szCs w:val="28"/>
        </w:rPr>
        <w:lastRenderedPageBreak/>
        <w:t>- Công tác tiếp công dân và giải quyết khiếu nại, tố cáo của người đứng đầu cấp uỷ, Chủ tịch UBND các cấp, thủ trưởng cơ quan, đơn vị có trách nhiệm tiếp công dân, giải quyết khiếu nại, tố cáo theo quy định của Đảng, pháp luật của Nhà nước.</w:t>
      </w:r>
      <w:bookmarkStart w:id="15" w:name="bookmark18"/>
      <w:bookmarkEnd w:id="15"/>
    </w:p>
    <w:p w14:paraId="084C745E" w14:textId="77777777" w:rsidR="00A1451B" w:rsidRPr="00A1451B" w:rsidRDefault="00A1451B" w:rsidP="00A1451B">
      <w:pPr>
        <w:pStyle w:val="Vnbnnidung0"/>
        <w:spacing w:line="288" w:lineRule="auto"/>
        <w:ind w:firstLine="709"/>
        <w:jc w:val="both"/>
        <w:rPr>
          <w:b/>
          <w:bCs/>
          <w:sz w:val="28"/>
          <w:szCs w:val="28"/>
        </w:rPr>
      </w:pPr>
      <w:r w:rsidRPr="00A1451B">
        <w:rPr>
          <w:sz w:val="28"/>
          <w:szCs w:val="28"/>
        </w:rPr>
        <w:t>- Công tác tiếp công dân và giải quyết các phản ánh, kiến nghị, khiếu nại, tố cáo của các cơ quan chức năng (nội chính, kiểm tra, thanh tra, công an, kiểm sát, tòa án, thi hành án dân sự,...).</w:t>
      </w:r>
      <w:bookmarkStart w:id="16" w:name="bookmark19"/>
      <w:bookmarkEnd w:id="16"/>
    </w:p>
    <w:p w14:paraId="7818E408" w14:textId="77777777" w:rsidR="00A1451B" w:rsidRPr="00A1451B" w:rsidRDefault="00A1451B" w:rsidP="00A1451B">
      <w:pPr>
        <w:pStyle w:val="Vnbnnidung0"/>
        <w:spacing w:line="288" w:lineRule="auto"/>
        <w:ind w:firstLine="709"/>
        <w:jc w:val="both"/>
        <w:rPr>
          <w:b/>
          <w:bCs/>
          <w:sz w:val="28"/>
          <w:szCs w:val="28"/>
        </w:rPr>
      </w:pPr>
      <w:r w:rsidRPr="00A1451B">
        <w:rPr>
          <w:b/>
          <w:bCs/>
          <w:sz w:val="28"/>
          <w:szCs w:val="28"/>
        </w:rPr>
        <w:t xml:space="preserve">- </w:t>
      </w:r>
      <w:r w:rsidRPr="00A1451B">
        <w:rPr>
          <w:sz w:val="28"/>
          <w:szCs w:val="28"/>
        </w:rPr>
        <w:t>Công tác lãnh đạo, chỉ đạo, phối hợp giải quyết các vụ việc khiếu kiện đông người, phức tạp, kéo dài.</w:t>
      </w:r>
      <w:bookmarkStart w:id="17" w:name="bookmark20"/>
      <w:bookmarkEnd w:id="17"/>
    </w:p>
    <w:p w14:paraId="6DF0F559" w14:textId="77777777" w:rsidR="00A1451B" w:rsidRPr="00A1451B" w:rsidRDefault="00A1451B" w:rsidP="00A1451B">
      <w:pPr>
        <w:pStyle w:val="Vnbnnidung0"/>
        <w:spacing w:line="288" w:lineRule="auto"/>
        <w:ind w:firstLine="709"/>
        <w:jc w:val="both"/>
        <w:rPr>
          <w:b/>
          <w:bCs/>
          <w:sz w:val="28"/>
          <w:szCs w:val="28"/>
        </w:rPr>
      </w:pPr>
      <w:r w:rsidRPr="00A1451B">
        <w:rPr>
          <w:b/>
          <w:bCs/>
          <w:sz w:val="28"/>
          <w:szCs w:val="28"/>
        </w:rPr>
        <w:t xml:space="preserve">- </w:t>
      </w:r>
      <w:r w:rsidRPr="00A1451B">
        <w:rPr>
          <w:sz w:val="28"/>
          <w:szCs w:val="28"/>
        </w:rPr>
        <w:t>Công tác kiểm tra, giám sát, thanh tra đối với công tác tiếp công dân, giải quyết khiếu nại, tố cáo; việc phát hiện, xử lý các sai phạm.</w:t>
      </w:r>
      <w:bookmarkStart w:id="18" w:name="bookmark21"/>
      <w:bookmarkEnd w:id="18"/>
    </w:p>
    <w:p w14:paraId="50014DA5" w14:textId="77777777" w:rsidR="00A1451B" w:rsidRPr="00A1451B" w:rsidRDefault="00A1451B" w:rsidP="00A1451B">
      <w:pPr>
        <w:pStyle w:val="Vnbnnidung0"/>
        <w:spacing w:line="288" w:lineRule="auto"/>
        <w:ind w:firstLine="709"/>
        <w:jc w:val="both"/>
        <w:rPr>
          <w:b/>
          <w:bCs/>
          <w:sz w:val="28"/>
          <w:szCs w:val="28"/>
        </w:rPr>
      </w:pPr>
      <w:r w:rsidRPr="00A1451B">
        <w:rPr>
          <w:b/>
          <w:bCs/>
          <w:sz w:val="28"/>
          <w:szCs w:val="28"/>
        </w:rPr>
        <w:t xml:space="preserve">- </w:t>
      </w:r>
      <w:r w:rsidRPr="00A1451B">
        <w:rPr>
          <w:sz w:val="28"/>
          <w:szCs w:val="28"/>
        </w:rPr>
        <w:t>Việc phát huy vai trò, trách nhiệm của Mặt trận Tổ quốc, các tổ chức chính trị - xã hội và các cơ quan thông tin, báo chí trong công tác tiếp công dân, giải quyết khiếu nại, tố cáo.</w:t>
      </w:r>
      <w:bookmarkStart w:id="19" w:name="bookmark22"/>
      <w:bookmarkEnd w:id="19"/>
    </w:p>
    <w:p w14:paraId="5D0C8596" w14:textId="77777777" w:rsidR="00A1451B" w:rsidRPr="00A1451B" w:rsidRDefault="00A1451B" w:rsidP="00A1451B">
      <w:pPr>
        <w:pStyle w:val="Vnbnnidung0"/>
        <w:spacing w:line="288" w:lineRule="auto"/>
        <w:ind w:firstLine="709"/>
        <w:jc w:val="both"/>
        <w:rPr>
          <w:b/>
          <w:bCs/>
          <w:sz w:val="28"/>
          <w:szCs w:val="28"/>
        </w:rPr>
      </w:pPr>
      <w:r w:rsidRPr="00A1451B">
        <w:rPr>
          <w:b/>
          <w:bCs/>
          <w:sz w:val="28"/>
          <w:szCs w:val="28"/>
        </w:rPr>
        <w:t xml:space="preserve">- </w:t>
      </w:r>
      <w:r w:rsidRPr="00A1451B">
        <w:rPr>
          <w:sz w:val="28"/>
          <w:szCs w:val="28"/>
        </w:rPr>
        <w:t>Việc củng cố, kiện toàn đội ngũ cán bộ, công chức làm công tác tiếp công dân, giải quyết khiếu nại, tố cáo; việc đầu tư cơ sở vật chất, trang bị phương tiện và ứng dụng công nghệ thông tin phục vụ công tác tiếp công dân, giải quyết khiếu nại, tố cáo.</w:t>
      </w:r>
      <w:bookmarkStart w:id="20" w:name="bookmark23"/>
      <w:bookmarkEnd w:id="20"/>
    </w:p>
    <w:p w14:paraId="446DB2BE" w14:textId="77777777" w:rsidR="00A1451B" w:rsidRPr="00A1451B" w:rsidRDefault="00A1451B" w:rsidP="00A1451B">
      <w:pPr>
        <w:pStyle w:val="Vnbnnidung0"/>
        <w:spacing w:line="288" w:lineRule="auto"/>
        <w:ind w:firstLine="709"/>
        <w:jc w:val="both"/>
        <w:rPr>
          <w:b/>
          <w:bCs/>
          <w:sz w:val="28"/>
          <w:szCs w:val="28"/>
        </w:rPr>
      </w:pPr>
      <w:r w:rsidRPr="001228D8">
        <w:rPr>
          <w:sz w:val="28"/>
          <w:szCs w:val="28"/>
        </w:rPr>
        <w:t>1.3.</w:t>
      </w:r>
      <w:r w:rsidRPr="00A1451B">
        <w:rPr>
          <w:sz w:val="28"/>
          <w:szCs w:val="28"/>
        </w:rPr>
        <w:t xml:space="preserve"> Đánh giá ưu điểm, tồn tại, hạn chế, khó khăn, vướng mắc, nguyên nhân và rút ra bài học kinh nghiệm qua 10 năm thực hiện Chỉ thị.</w:t>
      </w:r>
      <w:bookmarkStart w:id="21" w:name="bookmark24"/>
      <w:bookmarkEnd w:id="21"/>
    </w:p>
    <w:p w14:paraId="3F6F0867" w14:textId="77777777" w:rsidR="00A1451B" w:rsidRPr="00A1451B" w:rsidRDefault="00A1451B" w:rsidP="00A1451B">
      <w:pPr>
        <w:pStyle w:val="Vnbnnidung0"/>
        <w:spacing w:line="288" w:lineRule="auto"/>
        <w:ind w:firstLine="709"/>
        <w:jc w:val="both"/>
        <w:rPr>
          <w:b/>
          <w:bCs/>
          <w:sz w:val="28"/>
          <w:szCs w:val="28"/>
        </w:rPr>
      </w:pPr>
      <w:r w:rsidRPr="001228D8">
        <w:rPr>
          <w:sz w:val="28"/>
          <w:szCs w:val="28"/>
        </w:rPr>
        <w:t>1.4.</w:t>
      </w:r>
      <w:r w:rsidRPr="00A1451B">
        <w:rPr>
          <w:b/>
          <w:bCs/>
          <w:sz w:val="28"/>
          <w:szCs w:val="28"/>
        </w:rPr>
        <w:t xml:space="preserve"> </w:t>
      </w:r>
      <w:r w:rsidRPr="00A1451B">
        <w:rPr>
          <w:sz w:val="28"/>
          <w:szCs w:val="28"/>
        </w:rPr>
        <w:t>Đề xuất, kiến nghị những nhiệm vụ, giải pháp khắc phục tồn tại, hạn chế, tháo gỡ khó khăn, vướng mắc; tiếp tục tăng cường sự lãnh đạo, chỉ đạo của Đảng nhằm nâng cao hiệu quả công tác tiếp công dân và giải quyết khiếu nại, tố cáo trong thời gian tới.</w:t>
      </w:r>
    </w:p>
    <w:p w14:paraId="21A2280B" w14:textId="77777777" w:rsidR="00A1451B" w:rsidRPr="00A1451B" w:rsidRDefault="00A1451B" w:rsidP="00A1451B">
      <w:pPr>
        <w:pStyle w:val="Vnbnnidung0"/>
        <w:spacing w:line="288" w:lineRule="auto"/>
        <w:ind w:firstLine="709"/>
        <w:jc w:val="both"/>
        <w:rPr>
          <w:i/>
          <w:iCs/>
          <w:sz w:val="28"/>
          <w:szCs w:val="28"/>
        </w:rPr>
      </w:pPr>
      <w:r w:rsidRPr="00A1451B">
        <w:rPr>
          <w:i/>
          <w:iCs/>
          <w:sz w:val="28"/>
          <w:szCs w:val="28"/>
        </w:rPr>
        <w:t>(có Đề cương báo cáo tổng kết kèm Kế hoạch)</w:t>
      </w:r>
      <w:bookmarkStart w:id="22" w:name="bookmark27"/>
      <w:bookmarkStart w:id="23" w:name="bookmark25"/>
      <w:bookmarkStart w:id="24" w:name="bookmark26"/>
      <w:bookmarkStart w:id="25" w:name="bookmark28"/>
      <w:bookmarkEnd w:id="22"/>
    </w:p>
    <w:p w14:paraId="64E6F28E" w14:textId="77777777" w:rsidR="00A1451B" w:rsidRPr="00A1451B" w:rsidRDefault="00A1451B" w:rsidP="00A1451B">
      <w:pPr>
        <w:pStyle w:val="Vnbnnidung0"/>
        <w:spacing w:line="288" w:lineRule="auto"/>
        <w:ind w:firstLine="709"/>
        <w:jc w:val="both"/>
        <w:rPr>
          <w:b/>
          <w:bCs/>
          <w:sz w:val="28"/>
          <w:szCs w:val="28"/>
        </w:rPr>
      </w:pPr>
      <w:r w:rsidRPr="00A1451B">
        <w:rPr>
          <w:b/>
          <w:bCs/>
          <w:sz w:val="28"/>
          <w:szCs w:val="28"/>
        </w:rPr>
        <w:t>2. Phương pháp, thời gian tổng kết</w:t>
      </w:r>
      <w:bookmarkStart w:id="26" w:name="bookmark29"/>
      <w:bookmarkEnd w:id="23"/>
      <w:bookmarkEnd w:id="24"/>
      <w:bookmarkEnd w:id="25"/>
      <w:bookmarkEnd w:id="26"/>
    </w:p>
    <w:p w14:paraId="0AF41325" w14:textId="77777777" w:rsidR="00A1451B" w:rsidRPr="00A1451B" w:rsidRDefault="00A1451B" w:rsidP="00A1451B">
      <w:pPr>
        <w:pStyle w:val="Vnbnnidung0"/>
        <w:spacing w:line="288" w:lineRule="auto"/>
        <w:ind w:firstLine="709"/>
        <w:jc w:val="both"/>
        <w:rPr>
          <w:b/>
          <w:bCs/>
          <w:sz w:val="28"/>
          <w:szCs w:val="28"/>
        </w:rPr>
      </w:pPr>
      <w:r w:rsidRPr="00A1451B">
        <w:rPr>
          <w:b/>
          <w:bCs/>
          <w:sz w:val="28"/>
          <w:szCs w:val="28"/>
        </w:rPr>
        <w:t xml:space="preserve">- </w:t>
      </w:r>
      <w:r w:rsidRPr="00A1451B">
        <w:rPr>
          <w:sz w:val="28"/>
          <w:szCs w:val="28"/>
        </w:rPr>
        <w:t xml:space="preserve">Ban Tuyên giáo Huyện ủy, UBKT Huyện ủy, UBND huyện, các chi, đảng bộ cơ sở tổ chức tổng kết 10 năm thực hiện Chỉ thị số 35-CT/TW bằng hình thức phù hợp, gửi báo cáo tổng kết về Huyện ủy </w:t>
      </w:r>
      <w:r w:rsidRPr="00A1451B">
        <w:rPr>
          <w:i/>
          <w:iCs/>
          <w:sz w:val="28"/>
          <w:szCs w:val="28"/>
        </w:rPr>
        <w:t>(qua Văn phòng Huyện ủy)</w:t>
      </w:r>
      <w:r w:rsidRPr="00A1451B">
        <w:rPr>
          <w:b/>
          <w:bCs/>
          <w:sz w:val="28"/>
          <w:szCs w:val="28"/>
        </w:rPr>
        <w:t xml:space="preserve"> trước ngày 15/7/2024</w:t>
      </w:r>
      <w:r w:rsidRPr="00A1451B">
        <w:rPr>
          <w:sz w:val="28"/>
          <w:szCs w:val="28"/>
        </w:rPr>
        <w:t>.</w:t>
      </w:r>
    </w:p>
    <w:p w14:paraId="508F38F3" w14:textId="77777777" w:rsidR="00A1451B" w:rsidRPr="00A1451B" w:rsidRDefault="00A1451B" w:rsidP="00A1451B">
      <w:pPr>
        <w:pStyle w:val="Vnbnnidung0"/>
        <w:spacing w:line="288" w:lineRule="auto"/>
        <w:ind w:firstLine="709"/>
        <w:jc w:val="both"/>
        <w:rPr>
          <w:sz w:val="28"/>
          <w:szCs w:val="28"/>
        </w:rPr>
      </w:pPr>
      <w:r w:rsidRPr="00A1451B">
        <w:rPr>
          <w:i/>
          <w:iCs/>
          <w:sz w:val="28"/>
          <w:szCs w:val="28"/>
        </w:rPr>
        <w:t>Thời gian lấy số liệu tổng kết: Từ ngày 01/7/2014 đến ngày 30/6/2024.</w:t>
      </w:r>
    </w:p>
    <w:p w14:paraId="21889932" w14:textId="5D35CF50" w:rsidR="00A1451B" w:rsidRPr="00A1451B" w:rsidRDefault="00A1451B" w:rsidP="00A1451B">
      <w:pPr>
        <w:pStyle w:val="Vnbnnidung0"/>
        <w:spacing w:line="288" w:lineRule="auto"/>
        <w:ind w:firstLine="709"/>
        <w:jc w:val="both"/>
        <w:rPr>
          <w:b/>
          <w:bCs/>
          <w:sz w:val="28"/>
          <w:szCs w:val="28"/>
        </w:rPr>
      </w:pPr>
      <w:r w:rsidRPr="00A1451B">
        <w:rPr>
          <w:sz w:val="28"/>
          <w:szCs w:val="28"/>
        </w:rPr>
        <w:t xml:space="preserve">- Văn phòng Huyện ủy tổng hợp, xây dựng báo cáo tổng kết của Huyện ủy thực hiện Chỉ thị số 35-CT/TW, trình Thường trực ủy </w:t>
      </w:r>
      <w:r w:rsidRPr="00A1451B">
        <w:rPr>
          <w:b/>
          <w:bCs/>
          <w:sz w:val="28"/>
          <w:szCs w:val="28"/>
        </w:rPr>
        <w:t>trước ngày 18/7/2024.</w:t>
      </w:r>
      <w:bookmarkStart w:id="27" w:name="bookmark32"/>
      <w:bookmarkStart w:id="28" w:name="bookmark30"/>
      <w:bookmarkStart w:id="29" w:name="bookmark31"/>
      <w:bookmarkStart w:id="30" w:name="bookmark33"/>
      <w:bookmarkEnd w:id="27"/>
    </w:p>
    <w:p w14:paraId="1069E19E" w14:textId="77777777" w:rsidR="00A1451B" w:rsidRPr="00A1451B" w:rsidRDefault="00A1451B" w:rsidP="00A1451B">
      <w:pPr>
        <w:pStyle w:val="Vnbnnidung0"/>
        <w:spacing w:line="264" w:lineRule="auto"/>
        <w:ind w:firstLine="709"/>
        <w:jc w:val="both"/>
        <w:rPr>
          <w:b/>
          <w:bCs/>
          <w:sz w:val="28"/>
          <w:szCs w:val="28"/>
        </w:rPr>
      </w:pPr>
      <w:r w:rsidRPr="00A1451B">
        <w:rPr>
          <w:b/>
          <w:bCs/>
          <w:sz w:val="28"/>
          <w:szCs w:val="28"/>
        </w:rPr>
        <w:lastRenderedPageBreak/>
        <w:t>III. TỔ CHỨC THỰC HIỆN</w:t>
      </w:r>
      <w:bookmarkStart w:id="31" w:name="bookmark34"/>
      <w:bookmarkEnd w:id="28"/>
      <w:bookmarkEnd w:id="29"/>
      <w:bookmarkEnd w:id="30"/>
      <w:bookmarkEnd w:id="31"/>
    </w:p>
    <w:p w14:paraId="490124B1" w14:textId="77777777" w:rsidR="00A1451B" w:rsidRPr="00A1451B" w:rsidRDefault="00A1451B" w:rsidP="00A1451B">
      <w:pPr>
        <w:pStyle w:val="Vnbnnidung0"/>
        <w:spacing w:line="264" w:lineRule="auto"/>
        <w:ind w:firstLine="709"/>
        <w:jc w:val="both"/>
        <w:rPr>
          <w:b/>
          <w:bCs/>
          <w:sz w:val="28"/>
          <w:szCs w:val="28"/>
        </w:rPr>
      </w:pPr>
      <w:r w:rsidRPr="00A1451B">
        <w:rPr>
          <w:sz w:val="28"/>
          <w:szCs w:val="28"/>
        </w:rPr>
        <w:t>1.</w:t>
      </w:r>
      <w:r w:rsidRPr="00A1451B">
        <w:rPr>
          <w:b/>
          <w:bCs/>
          <w:sz w:val="28"/>
          <w:szCs w:val="28"/>
        </w:rPr>
        <w:t xml:space="preserve"> </w:t>
      </w:r>
      <w:r w:rsidRPr="00A1451B">
        <w:rPr>
          <w:sz w:val="28"/>
          <w:szCs w:val="28"/>
        </w:rPr>
        <w:t>Ban Tuyên giáo Huyện ủy, UBKT Huyện ủy, UBND huyện, các chi, đảng bộ cơ sở lãnh đạo, chỉ đạo tổng kết Chỉ thị bảo đảm thời gian theo quy định.</w:t>
      </w:r>
      <w:bookmarkStart w:id="32" w:name="bookmark35"/>
      <w:bookmarkEnd w:id="32"/>
    </w:p>
    <w:p w14:paraId="4BE98047" w14:textId="77777777" w:rsidR="00A1451B" w:rsidRPr="00A1451B" w:rsidRDefault="00A1451B" w:rsidP="00A1451B">
      <w:pPr>
        <w:pStyle w:val="Vnbnnidung0"/>
        <w:spacing w:line="264" w:lineRule="auto"/>
        <w:ind w:firstLine="709"/>
        <w:jc w:val="both"/>
        <w:rPr>
          <w:sz w:val="28"/>
          <w:szCs w:val="28"/>
        </w:rPr>
      </w:pPr>
      <w:r w:rsidRPr="00A1451B">
        <w:rPr>
          <w:sz w:val="28"/>
          <w:szCs w:val="28"/>
        </w:rPr>
        <w:t>2.</w:t>
      </w:r>
      <w:r w:rsidRPr="00A1451B">
        <w:rPr>
          <w:b/>
          <w:bCs/>
          <w:sz w:val="28"/>
          <w:szCs w:val="28"/>
        </w:rPr>
        <w:t xml:space="preserve"> </w:t>
      </w:r>
      <w:r w:rsidRPr="00A1451B">
        <w:rPr>
          <w:sz w:val="28"/>
          <w:szCs w:val="28"/>
        </w:rPr>
        <w:t>Văn phòng Huyện ủy chủ trì, phối hợp với các cơ quan liên quan theo dõi, hướng dẫn, đôn đốc việc thực hiện Kế hoạch.</w:t>
      </w:r>
    </w:p>
    <w:tbl>
      <w:tblPr>
        <w:tblW w:w="9356" w:type="dxa"/>
        <w:tblInd w:w="108" w:type="dxa"/>
        <w:tblLook w:val="01E0" w:firstRow="1" w:lastRow="1" w:firstColumn="1" w:lastColumn="1" w:noHBand="0" w:noVBand="0"/>
      </w:tblPr>
      <w:tblGrid>
        <w:gridCol w:w="4536"/>
        <w:gridCol w:w="4820"/>
      </w:tblGrid>
      <w:tr w:rsidR="00A1451B" w:rsidRPr="0026782E" w14:paraId="4182197E" w14:textId="77777777" w:rsidTr="007973FD">
        <w:tc>
          <w:tcPr>
            <w:tcW w:w="4536" w:type="dxa"/>
            <w:shd w:val="clear" w:color="auto" w:fill="auto"/>
          </w:tcPr>
          <w:p w14:paraId="57EB05CC" w14:textId="77777777" w:rsidR="00A1451B" w:rsidRPr="00A1451B" w:rsidRDefault="00A1451B" w:rsidP="007973FD">
            <w:pPr>
              <w:widowControl/>
              <w:ind w:left="-108"/>
              <w:rPr>
                <w:rFonts w:ascii="Times New Roman" w:eastAsia="Times New Roman" w:hAnsi="Times New Roman" w:cs="Times New Roman"/>
                <w:color w:val="auto"/>
                <w:sz w:val="28"/>
                <w:szCs w:val="28"/>
                <w:lang w:val="en-US" w:eastAsia="en-US" w:bidi="ar-SA"/>
              </w:rPr>
            </w:pPr>
            <w:r w:rsidRPr="0026782E">
              <w:rPr>
                <w:rFonts w:ascii="Times New Roman" w:eastAsia="Times New Roman" w:hAnsi="Times New Roman" w:cs="Times New Roman"/>
                <w:color w:val="auto"/>
                <w:sz w:val="28"/>
                <w:szCs w:val="28"/>
                <w:u w:val="single"/>
                <w:lang w:eastAsia="en-US" w:bidi="ar-SA"/>
              </w:rPr>
              <w:t>Nơi nhận:</w:t>
            </w:r>
          </w:p>
          <w:p w14:paraId="6E4A536D" w14:textId="77777777" w:rsidR="00A1451B" w:rsidRPr="0026782E" w:rsidRDefault="00A1451B" w:rsidP="007973FD">
            <w:pPr>
              <w:widowControl/>
              <w:ind w:left="-108"/>
              <w:rPr>
                <w:rFonts w:ascii="Times New Roman" w:eastAsia="Times New Roman" w:hAnsi="Times New Roman" w:cs="Times New Roman"/>
                <w:color w:val="auto"/>
                <w:sz w:val="28"/>
                <w:szCs w:val="28"/>
                <w:lang w:eastAsia="en-US" w:bidi="ar-SA"/>
              </w:rPr>
            </w:pPr>
            <w:r w:rsidRPr="0026782E">
              <w:rPr>
                <w:rFonts w:ascii="Times New Roman" w:eastAsia="Times New Roman" w:hAnsi="Times New Roman" w:cs="Times New Roman"/>
                <w:color w:val="auto"/>
                <w:lang w:val="nl-NL" w:eastAsia="en-US" w:bidi="ar-SA"/>
              </w:rPr>
              <w:t>- Thường trực Huyện ủy,</w:t>
            </w:r>
          </w:p>
          <w:p w14:paraId="346F6127" w14:textId="77777777" w:rsidR="00A1451B" w:rsidRPr="0026782E" w:rsidRDefault="00A1451B" w:rsidP="007973FD">
            <w:pPr>
              <w:widowControl/>
              <w:ind w:left="-108"/>
              <w:jc w:val="both"/>
              <w:rPr>
                <w:rFonts w:ascii="Times New Roman" w:eastAsia="Times New Roman" w:hAnsi="Times New Roman" w:cs="Times New Roman"/>
                <w:color w:val="auto"/>
                <w:lang w:val="nl-NL" w:eastAsia="en-US" w:bidi="ar-SA"/>
              </w:rPr>
            </w:pPr>
            <w:r w:rsidRPr="0026782E">
              <w:rPr>
                <w:rFonts w:ascii="Times New Roman" w:eastAsia="Times New Roman" w:hAnsi="Times New Roman" w:cs="Times New Roman"/>
                <w:color w:val="auto"/>
                <w:lang w:val="nl-NL" w:eastAsia="en-US" w:bidi="ar-SA"/>
              </w:rPr>
              <w:t>- Lãnh đạo UBND huyện,</w:t>
            </w:r>
          </w:p>
          <w:p w14:paraId="2FEEE604" w14:textId="77777777" w:rsidR="00A1451B" w:rsidRPr="0026782E" w:rsidRDefault="00A1451B" w:rsidP="007973FD">
            <w:pPr>
              <w:widowControl/>
              <w:ind w:left="-108"/>
              <w:jc w:val="both"/>
              <w:rPr>
                <w:rFonts w:ascii="Times New Roman" w:eastAsia="Times New Roman" w:hAnsi="Times New Roman" w:cs="Times New Roman"/>
                <w:color w:val="auto"/>
                <w:lang w:val="nl-NL" w:eastAsia="en-US" w:bidi="ar-SA"/>
              </w:rPr>
            </w:pPr>
            <w:r w:rsidRPr="0026782E">
              <w:rPr>
                <w:rFonts w:ascii="Times New Roman" w:eastAsia="Times New Roman" w:hAnsi="Times New Roman" w:cs="Times New Roman"/>
                <w:color w:val="auto"/>
                <w:lang w:val="nl-NL" w:eastAsia="en-US" w:bidi="ar-SA"/>
              </w:rPr>
              <w:t>- Các ban Đảng huyện,</w:t>
            </w:r>
          </w:p>
          <w:p w14:paraId="7AFB00EA" w14:textId="77777777" w:rsidR="00A1451B" w:rsidRPr="0026782E" w:rsidRDefault="00A1451B" w:rsidP="007973FD">
            <w:pPr>
              <w:widowControl/>
              <w:ind w:left="-108"/>
              <w:jc w:val="both"/>
              <w:rPr>
                <w:rFonts w:ascii="Times New Roman" w:eastAsia="Times New Roman" w:hAnsi="Times New Roman" w:cs="Times New Roman"/>
                <w:color w:val="auto"/>
                <w:lang w:val="nl-NL" w:eastAsia="en-US" w:bidi="ar-SA"/>
              </w:rPr>
            </w:pPr>
            <w:r w:rsidRPr="0026782E">
              <w:rPr>
                <w:rFonts w:ascii="Times New Roman" w:eastAsia="Times New Roman" w:hAnsi="Times New Roman" w:cs="Times New Roman"/>
                <w:color w:val="auto"/>
                <w:lang w:val="nl-NL" w:eastAsia="en-US" w:bidi="ar-SA"/>
              </w:rPr>
              <w:t>- MTTQ và các đoàn thể huyện,</w:t>
            </w:r>
          </w:p>
          <w:p w14:paraId="0A5F0C91" w14:textId="77777777" w:rsidR="00A1451B" w:rsidRPr="0026782E" w:rsidRDefault="00A1451B" w:rsidP="007973FD">
            <w:pPr>
              <w:widowControl/>
              <w:ind w:left="-108"/>
              <w:jc w:val="both"/>
              <w:rPr>
                <w:rFonts w:ascii="Times New Roman" w:eastAsia="Times New Roman" w:hAnsi="Times New Roman" w:cs="Times New Roman"/>
                <w:color w:val="auto"/>
                <w:lang w:val="nl-NL" w:eastAsia="en-US" w:bidi="ar-SA"/>
              </w:rPr>
            </w:pPr>
            <w:r w:rsidRPr="0026782E">
              <w:rPr>
                <w:rFonts w:ascii="Times New Roman" w:eastAsia="Times New Roman" w:hAnsi="Times New Roman" w:cs="Times New Roman"/>
                <w:color w:val="auto"/>
                <w:lang w:val="nl-NL" w:eastAsia="en-US" w:bidi="ar-SA"/>
              </w:rPr>
              <w:t>- Các chi, đảng bộ cơ sở,</w:t>
            </w:r>
          </w:p>
          <w:p w14:paraId="7B71DE61" w14:textId="77777777" w:rsidR="00A1451B" w:rsidRPr="0026782E" w:rsidRDefault="00A1451B" w:rsidP="007973FD">
            <w:pPr>
              <w:widowControl/>
              <w:ind w:left="-108"/>
              <w:jc w:val="both"/>
              <w:rPr>
                <w:rFonts w:ascii="Times New Roman" w:eastAsia="Times New Roman" w:hAnsi="Times New Roman" w:cs="Times New Roman"/>
                <w:color w:val="auto"/>
                <w:lang w:val="nl-NL" w:eastAsia="en-US" w:bidi="ar-SA"/>
              </w:rPr>
            </w:pPr>
            <w:r w:rsidRPr="0026782E">
              <w:rPr>
                <w:rFonts w:ascii="Times New Roman" w:eastAsia="Times New Roman" w:hAnsi="Times New Roman" w:cs="Times New Roman"/>
                <w:color w:val="auto"/>
                <w:lang w:val="nl-NL" w:eastAsia="en-US" w:bidi="ar-SA"/>
              </w:rPr>
              <w:t>- Lưu VPHU.</w:t>
            </w:r>
          </w:p>
        </w:tc>
        <w:tc>
          <w:tcPr>
            <w:tcW w:w="4820" w:type="dxa"/>
            <w:shd w:val="clear" w:color="auto" w:fill="auto"/>
          </w:tcPr>
          <w:p w14:paraId="5A6D28EC" w14:textId="77777777" w:rsidR="00A1451B" w:rsidRPr="0026782E" w:rsidRDefault="00A1451B" w:rsidP="007973FD">
            <w:pPr>
              <w:widowControl/>
              <w:jc w:val="center"/>
              <w:rPr>
                <w:rFonts w:ascii="Times New Roman" w:eastAsia="Arial" w:hAnsi="Times New Roman" w:cs="Times New Roman"/>
                <w:b/>
                <w:color w:val="auto"/>
                <w:sz w:val="28"/>
                <w:szCs w:val="22"/>
                <w:lang w:val="fr-FR" w:eastAsia="en-US" w:bidi="ar-SA"/>
              </w:rPr>
            </w:pPr>
            <w:r w:rsidRPr="0026782E">
              <w:rPr>
                <w:rFonts w:ascii="Times New Roman" w:eastAsia="Arial" w:hAnsi="Times New Roman" w:cs="Times New Roman"/>
                <w:b/>
                <w:color w:val="auto"/>
                <w:sz w:val="28"/>
                <w:szCs w:val="22"/>
                <w:lang w:val="fr-FR" w:eastAsia="en-US" w:bidi="ar-SA"/>
              </w:rPr>
              <w:t>T/M BAN THƯỜNG VỤ</w:t>
            </w:r>
          </w:p>
          <w:p w14:paraId="28C7BEFA" w14:textId="77777777" w:rsidR="00A1451B" w:rsidRPr="0026782E" w:rsidRDefault="00A1451B" w:rsidP="007973FD">
            <w:pPr>
              <w:widowControl/>
              <w:jc w:val="center"/>
              <w:rPr>
                <w:rFonts w:ascii="Times New Roman" w:eastAsia="Arial" w:hAnsi="Times New Roman" w:cs="Times New Roman"/>
                <w:color w:val="auto"/>
                <w:sz w:val="28"/>
                <w:szCs w:val="22"/>
                <w:lang w:val="fr-FR" w:eastAsia="en-US" w:bidi="ar-SA"/>
              </w:rPr>
            </w:pPr>
            <w:r w:rsidRPr="0026782E">
              <w:rPr>
                <w:rFonts w:ascii="Times New Roman" w:eastAsia="Arial" w:hAnsi="Times New Roman" w:cs="Times New Roman"/>
                <w:color w:val="auto"/>
                <w:sz w:val="28"/>
                <w:szCs w:val="22"/>
                <w:lang w:val="fr-FR" w:eastAsia="en-US" w:bidi="ar-SA"/>
              </w:rPr>
              <w:t>BÍ THƯ</w:t>
            </w:r>
          </w:p>
          <w:p w14:paraId="11F63D1D" w14:textId="77777777" w:rsidR="00A1451B" w:rsidRPr="0026782E" w:rsidRDefault="00A1451B" w:rsidP="007973FD">
            <w:pPr>
              <w:widowControl/>
              <w:jc w:val="center"/>
              <w:rPr>
                <w:rFonts w:ascii="Times New Roman" w:eastAsia="Arial" w:hAnsi="Times New Roman" w:cs="Times New Roman"/>
                <w:color w:val="auto"/>
                <w:sz w:val="28"/>
                <w:szCs w:val="22"/>
                <w:lang w:val="fr-FR" w:eastAsia="en-US" w:bidi="ar-SA"/>
              </w:rPr>
            </w:pPr>
          </w:p>
          <w:p w14:paraId="2E932F2B" w14:textId="77777777" w:rsidR="00A1451B" w:rsidRPr="0026782E" w:rsidRDefault="00A1451B" w:rsidP="007973FD">
            <w:pPr>
              <w:widowControl/>
              <w:jc w:val="center"/>
              <w:rPr>
                <w:rFonts w:ascii="Times New Roman" w:eastAsia="Arial" w:hAnsi="Times New Roman" w:cs="Times New Roman"/>
                <w:color w:val="auto"/>
                <w:sz w:val="28"/>
                <w:szCs w:val="22"/>
                <w:lang w:val="fr-FR" w:eastAsia="en-US" w:bidi="ar-SA"/>
              </w:rPr>
            </w:pPr>
          </w:p>
          <w:p w14:paraId="5F854FD9" w14:textId="77777777" w:rsidR="00A1451B" w:rsidRPr="0026782E" w:rsidRDefault="00A1451B" w:rsidP="007973FD">
            <w:pPr>
              <w:widowControl/>
              <w:jc w:val="center"/>
              <w:rPr>
                <w:rFonts w:ascii="Times New Roman" w:eastAsia="Arial" w:hAnsi="Times New Roman" w:cs="Times New Roman"/>
                <w:color w:val="auto"/>
                <w:sz w:val="28"/>
                <w:szCs w:val="22"/>
                <w:lang w:val="fr-FR" w:eastAsia="en-US" w:bidi="ar-SA"/>
              </w:rPr>
            </w:pPr>
          </w:p>
          <w:p w14:paraId="18551FC3" w14:textId="77777777" w:rsidR="00A1451B" w:rsidRPr="0026782E" w:rsidRDefault="00A1451B" w:rsidP="007973FD">
            <w:pPr>
              <w:widowControl/>
              <w:jc w:val="center"/>
              <w:rPr>
                <w:rFonts w:ascii="Times New Roman" w:eastAsia="Arial" w:hAnsi="Times New Roman" w:cs="Times New Roman"/>
                <w:color w:val="auto"/>
                <w:sz w:val="28"/>
                <w:szCs w:val="22"/>
                <w:lang w:val="fr-FR" w:eastAsia="en-US" w:bidi="ar-SA"/>
              </w:rPr>
            </w:pPr>
          </w:p>
          <w:p w14:paraId="14B02CD9" w14:textId="77777777" w:rsidR="00A1451B" w:rsidRPr="0026782E" w:rsidRDefault="00A1451B" w:rsidP="007973FD">
            <w:pPr>
              <w:widowControl/>
              <w:jc w:val="center"/>
              <w:rPr>
                <w:rFonts w:ascii="Times New Roman" w:eastAsia="Arial" w:hAnsi="Times New Roman" w:cs="Times New Roman"/>
                <w:color w:val="auto"/>
                <w:sz w:val="28"/>
                <w:szCs w:val="22"/>
                <w:lang w:val="fr-FR" w:eastAsia="en-US" w:bidi="ar-SA"/>
              </w:rPr>
            </w:pPr>
          </w:p>
          <w:p w14:paraId="45B52C5E" w14:textId="77777777" w:rsidR="00A1451B" w:rsidRPr="0026782E" w:rsidRDefault="00A1451B" w:rsidP="007973FD">
            <w:pPr>
              <w:widowControl/>
              <w:jc w:val="center"/>
              <w:rPr>
                <w:rFonts w:ascii="Times New Roman" w:eastAsia="Arial" w:hAnsi="Times New Roman" w:cs="Times New Roman"/>
                <w:b/>
                <w:bCs/>
                <w:color w:val="auto"/>
                <w:sz w:val="28"/>
                <w:szCs w:val="22"/>
                <w:lang w:val="fr-FR" w:eastAsia="en-US" w:bidi="ar-SA"/>
              </w:rPr>
            </w:pPr>
            <w:r w:rsidRPr="0026782E">
              <w:rPr>
                <w:rFonts w:ascii="Times New Roman" w:eastAsia="Arial" w:hAnsi="Times New Roman" w:cs="Times New Roman"/>
                <w:b/>
                <w:bCs/>
                <w:color w:val="auto"/>
                <w:sz w:val="28"/>
                <w:szCs w:val="22"/>
                <w:lang w:val="fr-FR" w:eastAsia="en-US" w:bidi="ar-SA"/>
              </w:rPr>
              <w:t>Đinh Quang Tuấn</w:t>
            </w:r>
          </w:p>
          <w:p w14:paraId="5273DA14" w14:textId="77777777" w:rsidR="00A1451B" w:rsidRPr="0026782E" w:rsidRDefault="00A1451B" w:rsidP="007973FD">
            <w:pPr>
              <w:widowControl/>
              <w:jc w:val="center"/>
              <w:rPr>
                <w:rFonts w:ascii="Times New Roman" w:eastAsia="Times New Roman" w:hAnsi="Times New Roman" w:cs="Times New Roman"/>
                <w:b/>
                <w:color w:val="auto"/>
                <w:sz w:val="28"/>
                <w:szCs w:val="28"/>
                <w:lang w:val="en-US" w:eastAsia="en-US" w:bidi="ar-SA"/>
              </w:rPr>
            </w:pPr>
          </w:p>
        </w:tc>
      </w:tr>
    </w:tbl>
    <w:p w14:paraId="5C724309" w14:textId="77777777" w:rsidR="00FE5E1F" w:rsidRPr="00A1451B" w:rsidRDefault="00FE5E1F">
      <w:pPr>
        <w:rPr>
          <w:rFonts w:ascii="Times New Roman" w:hAnsi="Times New Roman" w:cs="Times New Roman"/>
        </w:rPr>
      </w:pPr>
    </w:p>
    <w:sectPr w:rsidR="00FE5E1F" w:rsidRPr="00A1451B" w:rsidSect="00FA4DB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C0"/>
    <w:rsid w:val="001228D8"/>
    <w:rsid w:val="00827DC0"/>
    <w:rsid w:val="00A051AA"/>
    <w:rsid w:val="00A1451B"/>
    <w:rsid w:val="00AA7B8A"/>
    <w:rsid w:val="00D03BB8"/>
    <w:rsid w:val="00FA4DB8"/>
    <w:rsid w:val="00FE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1CDC"/>
  <w15:chartTrackingRefBased/>
  <w15:docId w15:val="{ED9CAB5B-C5A7-4D74-890D-26BD4D9E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1B"/>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A1451B"/>
    <w:rPr>
      <w:rFonts w:eastAsia="Times New Roman" w:cs="Times New Roman"/>
      <w:sz w:val="30"/>
      <w:szCs w:val="30"/>
    </w:rPr>
  </w:style>
  <w:style w:type="paragraph" w:customStyle="1" w:styleId="Vnbnnidung0">
    <w:name w:val="Văn bản nội dung"/>
    <w:basedOn w:val="Normal"/>
    <w:link w:val="Vnbnnidung"/>
    <w:rsid w:val="00A1451B"/>
    <w:pPr>
      <w:spacing w:after="120"/>
      <w:ind w:firstLine="400"/>
    </w:pPr>
    <w:rPr>
      <w:rFonts w:ascii="Times New Roman" w:eastAsia="Times New Roman" w:hAnsi="Times New Roman" w:cs="Times New Roman"/>
      <w:color w:val="auto"/>
      <w:kern w:val="2"/>
      <w:sz w:val="30"/>
      <w:szCs w:val="30"/>
      <w:lang w:val="en-US"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2024-07-01T08:35:00Z</cp:lastPrinted>
  <dcterms:created xsi:type="dcterms:W3CDTF">2024-07-01T07:34:00Z</dcterms:created>
  <dcterms:modified xsi:type="dcterms:W3CDTF">2024-07-01T09:45:00Z</dcterms:modified>
</cp:coreProperties>
</file>